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769" w:rsidRPr="00D85769" w:rsidRDefault="00D85769" w:rsidP="00D85769">
      <w:pPr>
        <w:spacing w:line="480" w:lineRule="auto"/>
        <w:rPr>
          <w:rFonts w:ascii="Times New Roman" w:hAnsi="Times New Roman" w:cs="Times New Roman"/>
          <w:sz w:val="24"/>
          <w:szCs w:val="24"/>
        </w:rPr>
      </w:pPr>
    </w:p>
    <w:p w:rsidR="00D85769" w:rsidRPr="00D85769" w:rsidRDefault="00D85769" w:rsidP="00D85769">
      <w:pPr>
        <w:spacing w:line="480" w:lineRule="auto"/>
        <w:rPr>
          <w:rFonts w:ascii="Times New Roman" w:hAnsi="Times New Roman" w:cs="Times New Roman"/>
          <w:sz w:val="24"/>
          <w:szCs w:val="24"/>
        </w:rPr>
      </w:pPr>
    </w:p>
    <w:p w:rsidR="00D85769" w:rsidRPr="00D85769" w:rsidRDefault="00D85769" w:rsidP="00D85769">
      <w:pPr>
        <w:spacing w:line="480" w:lineRule="auto"/>
        <w:rPr>
          <w:rFonts w:ascii="Times New Roman" w:hAnsi="Times New Roman" w:cs="Times New Roman"/>
          <w:sz w:val="24"/>
          <w:szCs w:val="24"/>
        </w:rPr>
      </w:pPr>
    </w:p>
    <w:p w:rsidR="00D85769" w:rsidRPr="00D85769" w:rsidRDefault="00D85769" w:rsidP="00D85769">
      <w:pPr>
        <w:spacing w:line="480" w:lineRule="auto"/>
        <w:rPr>
          <w:rFonts w:ascii="Times New Roman" w:hAnsi="Times New Roman" w:cs="Times New Roman"/>
          <w:sz w:val="24"/>
          <w:szCs w:val="24"/>
        </w:rPr>
      </w:pPr>
    </w:p>
    <w:p w:rsidR="00D85769" w:rsidRPr="00D85769" w:rsidRDefault="00D85769" w:rsidP="00D85769">
      <w:pPr>
        <w:spacing w:line="480" w:lineRule="auto"/>
        <w:rPr>
          <w:rFonts w:ascii="Times New Roman" w:hAnsi="Times New Roman" w:cs="Times New Roman"/>
          <w:sz w:val="24"/>
          <w:szCs w:val="24"/>
        </w:rPr>
      </w:pPr>
    </w:p>
    <w:p w:rsidR="00D85769" w:rsidRPr="00D85769" w:rsidRDefault="00D85769" w:rsidP="00D85769">
      <w:pPr>
        <w:spacing w:line="480" w:lineRule="auto"/>
        <w:jc w:val="center"/>
        <w:rPr>
          <w:rFonts w:ascii="Times New Roman" w:hAnsi="Times New Roman" w:cs="Times New Roman"/>
          <w:sz w:val="24"/>
          <w:szCs w:val="24"/>
        </w:rPr>
      </w:pPr>
      <w:r w:rsidRPr="00D85769">
        <w:rPr>
          <w:rFonts w:ascii="Times New Roman" w:hAnsi="Times New Roman" w:cs="Times New Roman"/>
          <w:sz w:val="24"/>
          <w:szCs w:val="24"/>
        </w:rPr>
        <w:t xml:space="preserve">Poor Kids Documentary </w:t>
      </w:r>
    </w:p>
    <w:p w:rsidR="00D85769" w:rsidRPr="00D85769" w:rsidRDefault="00D85769" w:rsidP="00D85769">
      <w:pPr>
        <w:spacing w:line="480" w:lineRule="auto"/>
        <w:jc w:val="center"/>
        <w:rPr>
          <w:rFonts w:ascii="Times New Roman" w:hAnsi="Times New Roman" w:cs="Times New Roman"/>
          <w:sz w:val="24"/>
          <w:szCs w:val="24"/>
        </w:rPr>
      </w:pPr>
      <w:r w:rsidRPr="00D85769">
        <w:rPr>
          <w:rFonts w:ascii="Times New Roman" w:hAnsi="Times New Roman" w:cs="Times New Roman"/>
          <w:sz w:val="24"/>
          <w:szCs w:val="24"/>
        </w:rPr>
        <w:t>Name of Student</w:t>
      </w:r>
    </w:p>
    <w:p w:rsidR="00D85769" w:rsidRPr="00D85769" w:rsidRDefault="00D85769" w:rsidP="00D85769">
      <w:pPr>
        <w:spacing w:line="480" w:lineRule="auto"/>
        <w:jc w:val="center"/>
        <w:rPr>
          <w:rFonts w:ascii="Times New Roman" w:hAnsi="Times New Roman" w:cs="Times New Roman"/>
          <w:sz w:val="24"/>
          <w:szCs w:val="24"/>
        </w:rPr>
      </w:pPr>
      <w:r w:rsidRPr="00D85769">
        <w:rPr>
          <w:rFonts w:ascii="Times New Roman" w:hAnsi="Times New Roman" w:cs="Times New Roman"/>
          <w:sz w:val="24"/>
          <w:szCs w:val="24"/>
        </w:rPr>
        <w:t>Name of Institution</w:t>
      </w:r>
    </w:p>
    <w:p w:rsidR="00D85769" w:rsidRPr="00D85769" w:rsidRDefault="00D85769" w:rsidP="00D85769">
      <w:pPr>
        <w:spacing w:line="480" w:lineRule="auto"/>
        <w:jc w:val="center"/>
        <w:rPr>
          <w:rFonts w:ascii="Times New Roman" w:hAnsi="Times New Roman" w:cs="Times New Roman"/>
          <w:sz w:val="24"/>
          <w:szCs w:val="24"/>
        </w:rPr>
      </w:pPr>
      <w:r w:rsidRPr="00D85769">
        <w:rPr>
          <w:rFonts w:ascii="Times New Roman" w:hAnsi="Times New Roman" w:cs="Times New Roman"/>
          <w:sz w:val="24"/>
          <w:szCs w:val="24"/>
        </w:rPr>
        <w:t xml:space="preserve">Date </w:t>
      </w:r>
      <w:r w:rsidRPr="00D85769">
        <w:rPr>
          <w:rFonts w:ascii="Times New Roman" w:hAnsi="Times New Roman" w:cs="Times New Roman"/>
          <w:sz w:val="24"/>
          <w:szCs w:val="24"/>
        </w:rPr>
        <w:br w:type="page"/>
      </w:r>
    </w:p>
    <w:p w:rsidR="00000000" w:rsidRPr="00D85769" w:rsidRDefault="00362B4F" w:rsidP="00D85769">
      <w:pPr>
        <w:spacing w:line="480" w:lineRule="auto"/>
        <w:ind w:firstLine="720"/>
        <w:rPr>
          <w:rFonts w:ascii="Times New Roman" w:hAnsi="Times New Roman" w:cs="Times New Roman"/>
          <w:sz w:val="24"/>
          <w:szCs w:val="24"/>
        </w:rPr>
      </w:pPr>
      <w:r w:rsidRPr="00D85769">
        <w:rPr>
          <w:rFonts w:ascii="Times New Roman" w:hAnsi="Times New Roman" w:cs="Times New Roman"/>
          <w:sz w:val="24"/>
          <w:szCs w:val="24"/>
        </w:rPr>
        <w:lastRenderedPageBreak/>
        <w:t>The documentary titled ‘Poor Kids’ from PBS tells the tale of three poor families from the perception of the children, and takes some input from their parents. it commences with an interview of the families when the children are younger and follows up on them five years later. The documentary tells about the experiences and current situation of the families, and provides the thought and hopes of the children, and also tries to assess the influence their situation has on their lives and dreams. The challenges for the families are clear, and within the video are road signs giving statistics of the poverty rates in the United States</w:t>
      </w:r>
    </w:p>
    <w:p w:rsidR="00362B4F" w:rsidRPr="00D85769" w:rsidRDefault="00362B4F" w:rsidP="00D85769">
      <w:pPr>
        <w:spacing w:line="480" w:lineRule="auto"/>
        <w:rPr>
          <w:rFonts w:ascii="Times New Roman" w:hAnsi="Times New Roman" w:cs="Times New Roman"/>
          <w:b/>
          <w:sz w:val="24"/>
          <w:szCs w:val="24"/>
        </w:rPr>
      </w:pPr>
      <w:r w:rsidRPr="00D85769">
        <w:rPr>
          <w:rFonts w:ascii="Times New Roman" w:hAnsi="Times New Roman" w:cs="Times New Roman"/>
          <w:b/>
          <w:sz w:val="24"/>
          <w:szCs w:val="24"/>
        </w:rPr>
        <w:t>What are the causes if the problem the video describes?</w:t>
      </w:r>
    </w:p>
    <w:p w:rsidR="00362B4F" w:rsidRPr="00D85769" w:rsidRDefault="00370745" w:rsidP="00D85769">
      <w:pPr>
        <w:spacing w:line="480" w:lineRule="auto"/>
        <w:ind w:firstLine="720"/>
        <w:rPr>
          <w:rFonts w:ascii="Times New Roman" w:hAnsi="Times New Roman" w:cs="Times New Roman"/>
          <w:sz w:val="24"/>
          <w:szCs w:val="24"/>
        </w:rPr>
      </w:pPr>
      <w:r w:rsidRPr="00D85769">
        <w:rPr>
          <w:rFonts w:ascii="Times New Roman" w:hAnsi="Times New Roman" w:cs="Times New Roman"/>
          <w:sz w:val="24"/>
          <w:szCs w:val="24"/>
        </w:rPr>
        <w:t xml:space="preserve">Huston carried out a case study and categorized the reasons for child poverty along theories of social causation and social selection. The latter referred to the capability of individuals to succeed in life through their personal capacities. The hypothesis accounted for the mental and physical health, motivation, skills, talents, and individual characteristics in the children. According to the social selection theory, the parents of the poor children have lower capabilities that what is adequate for the acquisition and maintenance of income </w:t>
      </w:r>
      <w:sdt>
        <w:sdtPr>
          <w:rPr>
            <w:rFonts w:ascii="Times New Roman" w:hAnsi="Times New Roman" w:cs="Times New Roman"/>
            <w:sz w:val="24"/>
            <w:szCs w:val="24"/>
          </w:rPr>
          <w:id w:val="353614736"/>
          <w:citation/>
        </w:sdtPr>
        <w:sdtContent>
          <w:r w:rsidRPr="00D85769">
            <w:rPr>
              <w:rFonts w:ascii="Times New Roman" w:hAnsi="Times New Roman" w:cs="Times New Roman"/>
              <w:sz w:val="24"/>
              <w:szCs w:val="24"/>
            </w:rPr>
            <w:fldChar w:fldCharType="begin"/>
          </w:r>
          <w:r w:rsidRPr="00D85769">
            <w:rPr>
              <w:rFonts w:ascii="Times New Roman" w:hAnsi="Times New Roman" w:cs="Times New Roman"/>
              <w:sz w:val="24"/>
              <w:szCs w:val="24"/>
            </w:rPr>
            <w:instrText xml:space="preserve"> CITATION Hus11 \l 1033 </w:instrText>
          </w:r>
          <w:r w:rsidRPr="00D85769">
            <w:rPr>
              <w:rFonts w:ascii="Times New Roman" w:hAnsi="Times New Roman" w:cs="Times New Roman"/>
              <w:sz w:val="24"/>
              <w:szCs w:val="24"/>
            </w:rPr>
            <w:fldChar w:fldCharType="separate"/>
          </w:r>
          <w:r w:rsidRPr="00D85769">
            <w:rPr>
              <w:rFonts w:ascii="Times New Roman" w:hAnsi="Times New Roman" w:cs="Times New Roman"/>
              <w:noProof/>
              <w:sz w:val="24"/>
              <w:szCs w:val="24"/>
            </w:rPr>
            <w:t>(Huston, 2011)</w:t>
          </w:r>
          <w:r w:rsidRPr="00D85769">
            <w:rPr>
              <w:rFonts w:ascii="Times New Roman" w:hAnsi="Times New Roman" w:cs="Times New Roman"/>
              <w:sz w:val="24"/>
              <w:szCs w:val="24"/>
            </w:rPr>
            <w:fldChar w:fldCharType="end"/>
          </w:r>
        </w:sdtContent>
      </w:sdt>
      <w:r w:rsidRPr="00D85769">
        <w:rPr>
          <w:rFonts w:ascii="Times New Roman" w:hAnsi="Times New Roman" w:cs="Times New Roman"/>
          <w:sz w:val="24"/>
          <w:szCs w:val="24"/>
        </w:rPr>
        <w:t xml:space="preserve">. Consequentially, the children born out of such parenthood end up with lower than average intellectual and social skills emanating from genetic and environmental influences. The hypothesis also evaluates that the capacity for poverty is inbred for the children, and significant change can only be sourced from the inside </w:t>
      </w:r>
      <w:sdt>
        <w:sdtPr>
          <w:rPr>
            <w:rFonts w:ascii="Times New Roman" w:hAnsi="Times New Roman" w:cs="Times New Roman"/>
            <w:sz w:val="24"/>
            <w:szCs w:val="24"/>
          </w:rPr>
          <w:id w:val="353614737"/>
          <w:citation/>
        </w:sdtPr>
        <w:sdtContent>
          <w:r w:rsidRPr="00D85769">
            <w:rPr>
              <w:rFonts w:ascii="Times New Roman" w:hAnsi="Times New Roman" w:cs="Times New Roman"/>
              <w:sz w:val="24"/>
              <w:szCs w:val="24"/>
            </w:rPr>
            <w:fldChar w:fldCharType="begin"/>
          </w:r>
          <w:r w:rsidRPr="00D85769">
            <w:rPr>
              <w:rFonts w:ascii="Times New Roman" w:hAnsi="Times New Roman" w:cs="Times New Roman"/>
              <w:sz w:val="24"/>
              <w:szCs w:val="24"/>
            </w:rPr>
            <w:instrText xml:space="preserve"> CITATION Hus11 \l 1033 </w:instrText>
          </w:r>
          <w:r w:rsidRPr="00D85769">
            <w:rPr>
              <w:rFonts w:ascii="Times New Roman" w:hAnsi="Times New Roman" w:cs="Times New Roman"/>
              <w:sz w:val="24"/>
              <w:szCs w:val="24"/>
            </w:rPr>
            <w:fldChar w:fldCharType="separate"/>
          </w:r>
          <w:r w:rsidRPr="00D85769">
            <w:rPr>
              <w:rFonts w:ascii="Times New Roman" w:hAnsi="Times New Roman" w:cs="Times New Roman"/>
              <w:noProof/>
              <w:sz w:val="24"/>
              <w:szCs w:val="24"/>
            </w:rPr>
            <w:t>(Huston, 2011)</w:t>
          </w:r>
          <w:r w:rsidRPr="00D85769">
            <w:rPr>
              <w:rFonts w:ascii="Times New Roman" w:hAnsi="Times New Roman" w:cs="Times New Roman"/>
              <w:sz w:val="24"/>
              <w:szCs w:val="24"/>
            </w:rPr>
            <w:fldChar w:fldCharType="end"/>
          </w:r>
        </w:sdtContent>
      </w:sdt>
      <w:r w:rsidRPr="00D85769">
        <w:rPr>
          <w:rFonts w:ascii="Times New Roman" w:hAnsi="Times New Roman" w:cs="Times New Roman"/>
          <w:sz w:val="24"/>
          <w:szCs w:val="24"/>
        </w:rPr>
        <w:t xml:space="preserve">. The theory stipulates against political conservative perceptions for aid and assistance by arguing that the only significant and definitive mark of change should be accompanied with an appropriate shift in behavior to accommodate capacities that might breed excellence and help the children out of poverty. </w:t>
      </w:r>
    </w:p>
    <w:p w:rsidR="00370745" w:rsidRPr="00D85769" w:rsidRDefault="00370745" w:rsidP="00D85769">
      <w:pPr>
        <w:spacing w:line="480" w:lineRule="auto"/>
        <w:ind w:firstLine="720"/>
        <w:rPr>
          <w:rFonts w:ascii="Times New Roman" w:hAnsi="Times New Roman" w:cs="Times New Roman"/>
          <w:sz w:val="24"/>
          <w:szCs w:val="24"/>
        </w:rPr>
      </w:pPr>
      <w:r w:rsidRPr="00D85769">
        <w:rPr>
          <w:rFonts w:ascii="Times New Roman" w:hAnsi="Times New Roman" w:cs="Times New Roman"/>
          <w:sz w:val="24"/>
          <w:szCs w:val="24"/>
        </w:rPr>
        <w:lastRenderedPageBreak/>
        <w:t xml:space="preserve">The social causation </w:t>
      </w:r>
      <w:r w:rsidR="00717B06" w:rsidRPr="00D85769">
        <w:rPr>
          <w:rFonts w:ascii="Times New Roman" w:hAnsi="Times New Roman" w:cs="Times New Roman"/>
          <w:sz w:val="24"/>
          <w:szCs w:val="24"/>
        </w:rPr>
        <w:t xml:space="preserve">theory evaluates the role of economic and social institutions with inclusion of their structure in the role of facilitating of mitigating the standards of wealth. The hypothesis involved illustrates those amenities are critical factors involved in demarcating the barrier between affluence and poverty </w:t>
      </w:r>
      <w:sdt>
        <w:sdtPr>
          <w:rPr>
            <w:rFonts w:ascii="Times New Roman" w:hAnsi="Times New Roman" w:cs="Times New Roman"/>
            <w:sz w:val="24"/>
            <w:szCs w:val="24"/>
          </w:rPr>
          <w:id w:val="353614738"/>
          <w:citation/>
        </w:sdtPr>
        <w:sdtContent>
          <w:r w:rsidR="00717B06" w:rsidRPr="00D85769">
            <w:rPr>
              <w:rFonts w:ascii="Times New Roman" w:hAnsi="Times New Roman" w:cs="Times New Roman"/>
              <w:sz w:val="24"/>
              <w:szCs w:val="24"/>
            </w:rPr>
            <w:fldChar w:fldCharType="begin"/>
          </w:r>
          <w:r w:rsidR="00717B06" w:rsidRPr="00D85769">
            <w:rPr>
              <w:rFonts w:ascii="Times New Roman" w:hAnsi="Times New Roman" w:cs="Times New Roman"/>
              <w:sz w:val="24"/>
              <w:szCs w:val="24"/>
            </w:rPr>
            <w:instrText xml:space="preserve"> CITATION Hus11 \l 1033 </w:instrText>
          </w:r>
          <w:r w:rsidR="00717B06" w:rsidRPr="00D85769">
            <w:rPr>
              <w:rFonts w:ascii="Times New Roman" w:hAnsi="Times New Roman" w:cs="Times New Roman"/>
              <w:sz w:val="24"/>
              <w:szCs w:val="24"/>
            </w:rPr>
            <w:fldChar w:fldCharType="separate"/>
          </w:r>
          <w:r w:rsidR="00717B06" w:rsidRPr="00D85769">
            <w:rPr>
              <w:rFonts w:ascii="Times New Roman" w:hAnsi="Times New Roman" w:cs="Times New Roman"/>
              <w:noProof/>
              <w:sz w:val="24"/>
              <w:szCs w:val="24"/>
            </w:rPr>
            <w:t>(Huston, 2011)</w:t>
          </w:r>
          <w:r w:rsidR="00717B06" w:rsidRPr="00D85769">
            <w:rPr>
              <w:rFonts w:ascii="Times New Roman" w:hAnsi="Times New Roman" w:cs="Times New Roman"/>
              <w:sz w:val="24"/>
              <w:szCs w:val="24"/>
            </w:rPr>
            <w:fldChar w:fldCharType="end"/>
          </w:r>
        </w:sdtContent>
      </w:sdt>
      <w:r w:rsidR="00717B06" w:rsidRPr="00D85769">
        <w:rPr>
          <w:rFonts w:ascii="Times New Roman" w:hAnsi="Times New Roman" w:cs="Times New Roman"/>
          <w:sz w:val="24"/>
          <w:szCs w:val="24"/>
        </w:rPr>
        <w:t xml:space="preserve">. The evaluation also accounts for the skills and wages involved in multiple forms of working, and the potential of such wages maintaining the social standards of either poverty or affluence. According to the hypothesis, the skills and labor provide factors that are critical in limiting families, and consequentially children from attaining wealth. The social causation theory also accounts for the experiences endured by the child, according to Mossakowski (2014). The author posits a hypothesis that argues the mental hardships endured by an individual have the capability of rendering the persons mentally ill. The increased risk is a critical factor that can inhibit the capacity to attain socio-economic affluence, which consequentially leads the people involved to fall into lower social class </w:t>
      </w:r>
      <w:sdt>
        <w:sdtPr>
          <w:rPr>
            <w:rFonts w:ascii="Times New Roman" w:hAnsi="Times New Roman" w:cs="Times New Roman"/>
            <w:sz w:val="24"/>
            <w:szCs w:val="24"/>
          </w:rPr>
          <w:id w:val="353614739"/>
          <w:citation/>
        </w:sdtPr>
        <w:sdtContent>
          <w:r w:rsidR="00717B06" w:rsidRPr="00D85769">
            <w:rPr>
              <w:rFonts w:ascii="Times New Roman" w:hAnsi="Times New Roman" w:cs="Times New Roman"/>
              <w:sz w:val="24"/>
              <w:szCs w:val="24"/>
            </w:rPr>
            <w:fldChar w:fldCharType="begin"/>
          </w:r>
          <w:r w:rsidR="00717B06" w:rsidRPr="00D85769">
            <w:rPr>
              <w:rFonts w:ascii="Times New Roman" w:hAnsi="Times New Roman" w:cs="Times New Roman"/>
              <w:sz w:val="24"/>
              <w:szCs w:val="24"/>
            </w:rPr>
            <w:instrText xml:space="preserve"> CITATION Mos14 \l 1033 </w:instrText>
          </w:r>
          <w:r w:rsidR="00717B06" w:rsidRPr="00D85769">
            <w:rPr>
              <w:rFonts w:ascii="Times New Roman" w:hAnsi="Times New Roman" w:cs="Times New Roman"/>
              <w:sz w:val="24"/>
              <w:szCs w:val="24"/>
            </w:rPr>
            <w:fldChar w:fldCharType="separate"/>
          </w:r>
          <w:r w:rsidR="00717B06" w:rsidRPr="00D85769">
            <w:rPr>
              <w:rFonts w:ascii="Times New Roman" w:hAnsi="Times New Roman" w:cs="Times New Roman"/>
              <w:noProof/>
              <w:sz w:val="24"/>
              <w:szCs w:val="24"/>
            </w:rPr>
            <w:t>(Mossakowski, 2014)</w:t>
          </w:r>
          <w:r w:rsidR="00717B06" w:rsidRPr="00D85769">
            <w:rPr>
              <w:rFonts w:ascii="Times New Roman" w:hAnsi="Times New Roman" w:cs="Times New Roman"/>
              <w:sz w:val="24"/>
              <w:szCs w:val="24"/>
            </w:rPr>
            <w:fldChar w:fldCharType="end"/>
          </w:r>
        </w:sdtContent>
      </w:sdt>
      <w:r w:rsidR="00717B06" w:rsidRPr="00D85769">
        <w:rPr>
          <w:rFonts w:ascii="Times New Roman" w:hAnsi="Times New Roman" w:cs="Times New Roman"/>
          <w:sz w:val="24"/>
          <w:szCs w:val="24"/>
        </w:rPr>
        <w:t xml:space="preserve">. A constant cycle ensures that families can never escape poverty. </w:t>
      </w:r>
    </w:p>
    <w:p w:rsidR="00717B06" w:rsidRPr="00D85769" w:rsidRDefault="00A6364A" w:rsidP="00D85769">
      <w:pPr>
        <w:spacing w:line="480" w:lineRule="auto"/>
        <w:ind w:firstLine="720"/>
        <w:rPr>
          <w:rFonts w:ascii="Times New Roman" w:hAnsi="Times New Roman" w:cs="Times New Roman"/>
          <w:sz w:val="24"/>
          <w:szCs w:val="24"/>
        </w:rPr>
      </w:pPr>
      <w:r w:rsidRPr="00D85769">
        <w:rPr>
          <w:rFonts w:ascii="Times New Roman" w:hAnsi="Times New Roman" w:cs="Times New Roman"/>
          <w:sz w:val="24"/>
          <w:szCs w:val="24"/>
        </w:rPr>
        <w:t xml:space="preserve">Both theories introduce the influence of the family structure into the poverty standards of a family. The guardians and family influence the social well-being of the children ll through early development and into adulthood. Their influence is major through various development milestones emotionally, socially, and cognitively. Before the 1960s, married families were prominent but now more and more children are born out of wedlock. The shift in dynamic, according to the Census, has resulted in increased poverty standards in the United States. Children in married households stand an 11% chance to endure poverty in their adult life. However, for single parents, the ratio for single mothers is at 22%,, while that for single fathers stands at 48% </w:t>
      </w:r>
      <w:sdt>
        <w:sdtPr>
          <w:rPr>
            <w:rFonts w:ascii="Times New Roman" w:hAnsi="Times New Roman" w:cs="Times New Roman"/>
            <w:sz w:val="24"/>
            <w:szCs w:val="24"/>
          </w:rPr>
          <w:id w:val="353614740"/>
          <w:citation/>
        </w:sdtPr>
        <w:sdtContent>
          <w:r w:rsidRPr="00D85769">
            <w:rPr>
              <w:rFonts w:ascii="Times New Roman" w:hAnsi="Times New Roman" w:cs="Times New Roman"/>
              <w:sz w:val="24"/>
              <w:szCs w:val="24"/>
            </w:rPr>
            <w:fldChar w:fldCharType="begin"/>
          </w:r>
          <w:r w:rsidRPr="00D85769">
            <w:rPr>
              <w:rFonts w:ascii="Times New Roman" w:hAnsi="Times New Roman" w:cs="Times New Roman"/>
              <w:sz w:val="24"/>
              <w:szCs w:val="24"/>
            </w:rPr>
            <w:instrText xml:space="preserve"> CITATION Ken12 \l 1033 </w:instrText>
          </w:r>
          <w:r w:rsidRPr="00D85769">
            <w:rPr>
              <w:rFonts w:ascii="Times New Roman" w:hAnsi="Times New Roman" w:cs="Times New Roman"/>
              <w:sz w:val="24"/>
              <w:szCs w:val="24"/>
            </w:rPr>
            <w:fldChar w:fldCharType="separate"/>
          </w:r>
          <w:r w:rsidRPr="00D85769">
            <w:rPr>
              <w:rFonts w:ascii="Times New Roman" w:hAnsi="Times New Roman" w:cs="Times New Roman"/>
              <w:noProof/>
              <w:sz w:val="24"/>
              <w:szCs w:val="24"/>
            </w:rPr>
            <w:t>(Kennedy &amp; Fitch, 2012)</w:t>
          </w:r>
          <w:r w:rsidRPr="00D85769">
            <w:rPr>
              <w:rFonts w:ascii="Times New Roman" w:hAnsi="Times New Roman" w:cs="Times New Roman"/>
              <w:sz w:val="24"/>
              <w:szCs w:val="24"/>
            </w:rPr>
            <w:fldChar w:fldCharType="end"/>
          </w:r>
        </w:sdtContent>
      </w:sdt>
      <w:r w:rsidRPr="00D85769">
        <w:rPr>
          <w:rFonts w:ascii="Times New Roman" w:hAnsi="Times New Roman" w:cs="Times New Roman"/>
          <w:sz w:val="24"/>
          <w:szCs w:val="24"/>
        </w:rPr>
        <w:t xml:space="preserve">. </w:t>
      </w:r>
    </w:p>
    <w:p w:rsidR="00362B4F" w:rsidRPr="00D85769" w:rsidRDefault="00362B4F" w:rsidP="00D85769">
      <w:pPr>
        <w:spacing w:line="480" w:lineRule="auto"/>
        <w:rPr>
          <w:rFonts w:ascii="Times New Roman" w:hAnsi="Times New Roman" w:cs="Times New Roman"/>
          <w:b/>
          <w:sz w:val="24"/>
          <w:szCs w:val="24"/>
        </w:rPr>
      </w:pPr>
      <w:r w:rsidRPr="00D85769">
        <w:rPr>
          <w:rFonts w:ascii="Times New Roman" w:hAnsi="Times New Roman" w:cs="Times New Roman"/>
          <w:b/>
          <w:sz w:val="24"/>
          <w:szCs w:val="24"/>
        </w:rPr>
        <w:t>Which segments of society benefit from this situation?</w:t>
      </w:r>
    </w:p>
    <w:p w:rsidR="005810E7" w:rsidRPr="00D85769" w:rsidRDefault="00A6364A" w:rsidP="00D85769">
      <w:pPr>
        <w:spacing w:line="480" w:lineRule="auto"/>
        <w:ind w:firstLine="720"/>
        <w:rPr>
          <w:rFonts w:ascii="Times New Roman" w:hAnsi="Times New Roman" w:cs="Times New Roman"/>
          <w:sz w:val="24"/>
          <w:szCs w:val="24"/>
        </w:rPr>
      </w:pPr>
      <w:r w:rsidRPr="00D85769">
        <w:rPr>
          <w:rFonts w:ascii="Times New Roman" w:hAnsi="Times New Roman" w:cs="Times New Roman"/>
          <w:sz w:val="24"/>
          <w:szCs w:val="24"/>
        </w:rPr>
        <w:lastRenderedPageBreak/>
        <w:t>The Social Darwinism approach titled functiona</w:t>
      </w:r>
      <w:r w:rsidR="005810E7" w:rsidRPr="00D85769">
        <w:rPr>
          <w:rFonts w:ascii="Times New Roman" w:hAnsi="Times New Roman" w:cs="Times New Roman"/>
          <w:sz w:val="24"/>
          <w:szCs w:val="24"/>
        </w:rPr>
        <w:t>list theories mandate that things happens for a reason. The logic behind such hypothesis is in the assessment that when people are left to their own devices, the ‘cream will rise to the top.’ In the context of poverty in children, the theory applies following the argument of survival for the fittest. The manifestation of the argument is in capitalism that runs rampant, unscrupulous and unchecked</w:t>
      </w:r>
      <w:r w:rsidR="00B46BD5" w:rsidRPr="00D85769">
        <w:rPr>
          <w:rFonts w:ascii="Times New Roman" w:hAnsi="Times New Roman" w:cs="Times New Roman"/>
          <w:sz w:val="24"/>
          <w:szCs w:val="24"/>
        </w:rPr>
        <w:t xml:space="preserve"> </w:t>
      </w:r>
      <w:sdt>
        <w:sdtPr>
          <w:rPr>
            <w:rFonts w:ascii="Times New Roman" w:hAnsi="Times New Roman" w:cs="Times New Roman"/>
            <w:sz w:val="24"/>
            <w:szCs w:val="24"/>
          </w:rPr>
          <w:id w:val="353614742"/>
          <w:citation/>
        </w:sdtPr>
        <w:sdtContent>
          <w:r w:rsidR="00B46BD5" w:rsidRPr="00D85769">
            <w:rPr>
              <w:rFonts w:ascii="Times New Roman" w:hAnsi="Times New Roman" w:cs="Times New Roman"/>
              <w:sz w:val="24"/>
              <w:szCs w:val="24"/>
            </w:rPr>
            <w:fldChar w:fldCharType="begin"/>
          </w:r>
          <w:r w:rsidR="00B46BD5" w:rsidRPr="00D85769">
            <w:rPr>
              <w:rFonts w:ascii="Times New Roman" w:hAnsi="Times New Roman" w:cs="Times New Roman"/>
              <w:sz w:val="24"/>
              <w:szCs w:val="24"/>
            </w:rPr>
            <w:instrText xml:space="preserve"> CITATION Pot12 \l 1033 </w:instrText>
          </w:r>
          <w:r w:rsidR="00B46BD5" w:rsidRPr="00D85769">
            <w:rPr>
              <w:rFonts w:ascii="Times New Roman" w:hAnsi="Times New Roman" w:cs="Times New Roman"/>
              <w:sz w:val="24"/>
              <w:szCs w:val="24"/>
            </w:rPr>
            <w:fldChar w:fldCharType="separate"/>
          </w:r>
          <w:r w:rsidR="00B46BD5" w:rsidRPr="00D85769">
            <w:rPr>
              <w:rFonts w:ascii="Times New Roman" w:hAnsi="Times New Roman" w:cs="Times New Roman"/>
              <w:noProof/>
              <w:sz w:val="24"/>
              <w:szCs w:val="24"/>
            </w:rPr>
            <w:t>(Potts, 2012)</w:t>
          </w:r>
          <w:r w:rsidR="00B46BD5" w:rsidRPr="00D85769">
            <w:rPr>
              <w:rFonts w:ascii="Times New Roman" w:hAnsi="Times New Roman" w:cs="Times New Roman"/>
              <w:sz w:val="24"/>
              <w:szCs w:val="24"/>
            </w:rPr>
            <w:fldChar w:fldCharType="end"/>
          </w:r>
        </w:sdtContent>
      </w:sdt>
      <w:r w:rsidR="005810E7" w:rsidRPr="00D85769">
        <w:rPr>
          <w:rFonts w:ascii="Times New Roman" w:hAnsi="Times New Roman" w:cs="Times New Roman"/>
          <w:sz w:val="24"/>
          <w:szCs w:val="24"/>
        </w:rPr>
        <w:t xml:space="preserve">. The existence of the economic desperate brings balance to those who are socio-economically affluent. The latter group reaps advantages such as accumulation of more wealth, privilege associated with social class, contacts and additional benefits in better schooling structures, facilities and programs. </w:t>
      </w:r>
    </w:p>
    <w:p w:rsidR="00362B4F" w:rsidRPr="00D85769" w:rsidRDefault="005810E7" w:rsidP="00D85769">
      <w:pPr>
        <w:spacing w:line="480" w:lineRule="auto"/>
        <w:ind w:firstLine="720"/>
        <w:rPr>
          <w:rFonts w:ascii="Times New Roman" w:hAnsi="Times New Roman" w:cs="Times New Roman"/>
          <w:sz w:val="24"/>
          <w:szCs w:val="24"/>
        </w:rPr>
      </w:pPr>
      <w:r w:rsidRPr="00D85769">
        <w:rPr>
          <w:rFonts w:ascii="Times New Roman" w:hAnsi="Times New Roman" w:cs="Times New Roman"/>
          <w:sz w:val="24"/>
          <w:szCs w:val="24"/>
        </w:rPr>
        <w:t>The group also has a higher potential of exploitation of various populations in the process. Direct exploitation may take the form of casual laborers who are the poor in this context. However, provision of labor does not qualify as exploitation. Additional workplace hardship do qualify, and they can include the lack of benefits for the employees, unregulated work structure that strains the laborers, the case for the urban slumlords, or even benefitting from very high profit margins at the expense of the poor within the structure</w:t>
      </w:r>
      <w:r w:rsidR="00B46BD5" w:rsidRPr="00D85769">
        <w:rPr>
          <w:rFonts w:ascii="Times New Roman" w:hAnsi="Times New Roman" w:cs="Times New Roman"/>
          <w:sz w:val="24"/>
          <w:szCs w:val="24"/>
        </w:rPr>
        <w:t xml:space="preserve"> </w:t>
      </w:r>
      <w:sdt>
        <w:sdtPr>
          <w:rPr>
            <w:rFonts w:ascii="Times New Roman" w:hAnsi="Times New Roman" w:cs="Times New Roman"/>
            <w:sz w:val="24"/>
            <w:szCs w:val="24"/>
          </w:rPr>
          <w:id w:val="353614741"/>
          <w:citation/>
        </w:sdtPr>
        <w:sdtContent>
          <w:r w:rsidR="00B46BD5" w:rsidRPr="00D85769">
            <w:rPr>
              <w:rFonts w:ascii="Times New Roman" w:hAnsi="Times New Roman" w:cs="Times New Roman"/>
              <w:sz w:val="24"/>
              <w:szCs w:val="24"/>
            </w:rPr>
            <w:fldChar w:fldCharType="begin"/>
          </w:r>
          <w:r w:rsidR="00B46BD5" w:rsidRPr="00D85769">
            <w:rPr>
              <w:rFonts w:ascii="Times New Roman" w:hAnsi="Times New Roman" w:cs="Times New Roman"/>
              <w:sz w:val="24"/>
              <w:szCs w:val="24"/>
            </w:rPr>
            <w:instrText xml:space="preserve"> CITATION Pot12 \l 1033 </w:instrText>
          </w:r>
          <w:r w:rsidR="00B46BD5" w:rsidRPr="00D85769">
            <w:rPr>
              <w:rFonts w:ascii="Times New Roman" w:hAnsi="Times New Roman" w:cs="Times New Roman"/>
              <w:sz w:val="24"/>
              <w:szCs w:val="24"/>
            </w:rPr>
            <w:fldChar w:fldCharType="separate"/>
          </w:r>
          <w:r w:rsidR="00B46BD5" w:rsidRPr="00D85769">
            <w:rPr>
              <w:rFonts w:ascii="Times New Roman" w:hAnsi="Times New Roman" w:cs="Times New Roman"/>
              <w:noProof/>
              <w:sz w:val="24"/>
              <w:szCs w:val="24"/>
            </w:rPr>
            <w:t>(Potts, 2012)</w:t>
          </w:r>
          <w:r w:rsidR="00B46BD5" w:rsidRPr="00D85769">
            <w:rPr>
              <w:rFonts w:ascii="Times New Roman" w:hAnsi="Times New Roman" w:cs="Times New Roman"/>
              <w:sz w:val="24"/>
              <w:szCs w:val="24"/>
            </w:rPr>
            <w:fldChar w:fldCharType="end"/>
          </w:r>
        </w:sdtContent>
      </w:sdt>
      <w:r w:rsidRPr="00D85769">
        <w:rPr>
          <w:rFonts w:ascii="Times New Roman" w:hAnsi="Times New Roman" w:cs="Times New Roman"/>
          <w:sz w:val="24"/>
          <w:szCs w:val="24"/>
        </w:rPr>
        <w:t xml:space="preserve">. </w:t>
      </w:r>
      <w:r w:rsidR="00753550" w:rsidRPr="00D85769">
        <w:rPr>
          <w:rFonts w:ascii="Times New Roman" w:hAnsi="Times New Roman" w:cs="Times New Roman"/>
          <w:sz w:val="24"/>
          <w:szCs w:val="24"/>
        </w:rPr>
        <w:t xml:space="preserve">The slumlords have found a way to cheat the system such that they continuously collect rent from their apartments without necessarily making any renovations and improvements. Indirect advantages that the elite may reap from such a group include lost benefits. Though the socio-economic welfare of the poor is not beneficial to the entire community, the concept is functional to a part of the society. </w:t>
      </w:r>
    </w:p>
    <w:p w:rsidR="00753550" w:rsidRPr="00D85769" w:rsidRDefault="00753550" w:rsidP="00D85769">
      <w:pPr>
        <w:spacing w:line="480" w:lineRule="auto"/>
        <w:ind w:firstLine="720"/>
        <w:rPr>
          <w:rFonts w:ascii="Times New Roman" w:hAnsi="Times New Roman" w:cs="Times New Roman"/>
          <w:sz w:val="24"/>
          <w:szCs w:val="24"/>
        </w:rPr>
      </w:pPr>
      <w:r w:rsidRPr="00D85769">
        <w:rPr>
          <w:rFonts w:ascii="Times New Roman" w:hAnsi="Times New Roman" w:cs="Times New Roman"/>
          <w:sz w:val="24"/>
          <w:szCs w:val="24"/>
        </w:rPr>
        <w:t>Functionality also includes the promotion of domestic dirty, and low wage work. The poverty standards also promote business niches, which are necessary within their circles such as pawn shops, lottery, loan sharks, and motels</w:t>
      </w:r>
      <w:r w:rsidR="00B46BD5" w:rsidRPr="00D85769">
        <w:rPr>
          <w:rFonts w:ascii="Times New Roman" w:hAnsi="Times New Roman" w:cs="Times New Roman"/>
          <w:sz w:val="24"/>
          <w:szCs w:val="24"/>
        </w:rPr>
        <w:t xml:space="preserve"> </w:t>
      </w:r>
      <w:sdt>
        <w:sdtPr>
          <w:rPr>
            <w:rFonts w:ascii="Times New Roman" w:hAnsi="Times New Roman" w:cs="Times New Roman"/>
            <w:sz w:val="24"/>
            <w:szCs w:val="24"/>
          </w:rPr>
          <w:id w:val="353614743"/>
          <w:citation/>
        </w:sdtPr>
        <w:sdtContent>
          <w:r w:rsidR="00B46BD5" w:rsidRPr="00D85769">
            <w:rPr>
              <w:rFonts w:ascii="Times New Roman" w:hAnsi="Times New Roman" w:cs="Times New Roman"/>
              <w:sz w:val="24"/>
              <w:szCs w:val="24"/>
            </w:rPr>
            <w:fldChar w:fldCharType="begin"/>
          </w:r>
          <w:r w:rsidR="00B46BD5" w:rsidRPr="00D85769">
            <w:rPr>
              <w:rFonts w:ascii="Times New Roman" w:hAnsi="Times New Roman" w:cs="Times New Roman"/>
              <w:sz w:val="24"/>
              <w:szCs w:val="24"/>
            </w:rPr>
            <w:instrText xml:space="preserve"> CITATION FRO17 \l 1033 </w:instrText>
          </w:r>
          <w:r w:rsidR="00B46BD5" w:rsidRPr="00D85769">
            <w:rPr>
              <w:rFonts w:ascii="Times New Roman" w:hAnsi="Times New Roman" w:cs="Times New Roman"/>
              <w:sz w:val="24"/>
              <w:szCs w:val="24"/>
            </w:rPr>
            <w:fldChar w:fldCharType="separate"/>
          </w:r>
          <w:r w:rsidR="00B46BD5" w:rsidRPr="00D85769">
            <w:rPr>
              <w:rFonts w:ascii="Times New Roman" w:hAnsi="Times New Roman" w:cs="Times New Roman"/>
              <w:noProof/>
              <w:sz w:val="24"/>
              <w:szCs w:val="24"/>
            </w:rPr>
            <w:t>(FRONTLINE, 2017)</w:t>
          </w:r>
          <w:r w:rsidR="00B46BD5" w:rsidRPr="00D85769">
            <w:rPr>
              <w:rFonts w:ascii="Times New Roman" w:hAnsi="Times New Roman" w:cs="Times New Roman"/>
              <w:sz w:val="24"/>
              <w:szCs w:val="24"/>
            </w:rPr>
            <w:fldChar w:fldCharType="end"/>
          </w:r>
        </w:sdtContent>
      </w:sdt>
      <w:r w:rsidRPr="00D85769">
        <w:rPr>
          <w:rFonts w:ascii="Times New Roman" w:hAnsi="Times New Roman" w:cs="Times New Roman"/>
          <w:sz w:val="24"/>
          <w:szCs w:val="24"/>
        </w:rPr>
        <w:t xml:space="preserve">. In analysis of recycling </w:t>
      </w:r>
      <w:r w:rsidRPr="00D85769">
        <w:rPr>
          <w:rFonts w:ascii="Times New Roman" w:hAnsi="Times New Roman" w:cs="Times New Roman"/>
          <w:sz w:val="24"/>
          <w:szCs w:val="24"/>
        </w:rPr>
        <w:lastRenderedPageBreak/>
        <w:t xml:space="preserve">contributions, poor people help in the recycling of goods and products that other people have already discarded. </w:t>
      </w:r>
    </w:p>
    <w:p w:rsidR="00362B4F" w:rsidRPr="00D85769" w:rsidRDefault="00362B4F" w:rsidP="00D85769">
      <w:pPr>
        <w:spacing w:line="480" w:lineRule="auto"/>
        <w:rPr>
          <w:rFonts w:ascii="Times New Roman" w:hAnsi="Times New Roman" w:cs="Times New Roman"/>
          <w:b/>
          <w:sz w:val="24"/>
          <w:szCs w:val="24"/>
        </w:rPr>
      </w:pPr>
      <w:r w:rsidRPr="00D85769">
        <w:rPr>
          <w:rFonts w:ascii="Times New Roman" w:hAnsi="Times New Roman" w:cs="Times New Roman"/>
          <w:b/>
          <w:sz w:val="24"/>
          <w:szCs w:val="24"/>
        </w:rPr>
        <w:t>Conflict theorists would say that this problem is the result of competition between social groups or social classes and the resulting inequality. Please point to parts of the video that exemplify the conflict approach.</w:t>
      </w:r>
    </w:p>
    <w:p w:rsidR="00362B4F" w:rsidRPr="00D85769" w:rsidRDefault="00B46BD5" w:rsidP="00D85769">
      <w:pPr>
        <w:spacing w:line="480" w:lineRule="auto"/>
        <w:ind w:firstLine="720"/>
        <w:rPr>
          <w:rFonts w:ascii="Times New Roman" w:hAnsi="Times New Roman" w:cs="Times New Roman"/>
          <w:sz w:val="24"/>
          <w:szCs w:val="24"/>
        </w:rPr>
      </w:pPr>
      <w:r w:rsidRPr="00D85769">
        <w:rPr>
          <w:rFonts w:ascii="Times New Roman" w:hAnsi="Times New Roman" w:cs="Times New Roman"/>
          <w:sz w:val="24"/>
          <w:szCs w:val="24"/>
        </w:rPr>
        <w:t xml:space="preserve">The ‘Poor Kids’ documentary provides a variety of instances whereby conflict is evident between the socio-economic classes, which is a reason behind their poverty lives. The Smiths are poor since the sole provider, their dada, lost his job and they had to move out of their former house. Brittany’s brother even says that all the </w:t>
      </w:r>
      <w:r w:rsidR="00392ABE" w:rsidRPr="00D85769">
        <w:rPr>
          <w:rFonts w:ascii="Times New Roman" w:hAnsi="Times New Roman" w:cs="Times New Roman"/>
          <w:sz w:val="24"/>
          <w:szCs w:val="24"/>
        </w:rPr>
        <w:t>computers, play station,</w:t>
      </w:r>
      <w:r w:rsidRPr="00D85769">
        <w:rPr>
          <w:rFonts w:ascii="Times New Roman" w:hAnsi="Times New Roman" w:cs="Times New Roman"/>
          <w:sz w:val="24"/>
          <w:szCs w:val="24"/>
        </w:rPr>
        <w:t xml:space="preserve"> and television screens in their house are effects that they had acquired wile</w:t>
      </w:r>
      <w:r w:rsidR="00392ABE" w:rsidRPr="00D85769">
        <w:rPr>
          <w:rFonts w:ascii="Times New Roman" w:hAnsi="Times New Roman" w:cs="Times New Roman"/>
          <w:sz w:val="24"/>
          <w:szCs w:val="24"/>
        </w:rPr>
        <w:t xml:space="preserve"> their father was still working. Her brother also provides the perception of how he misses the internet, and that only someone in his situation would understand since it is a common amenity within most housel=holds. The comment is influential since it is an amenity that is out of their range of affordable devices. Her mother also illustrates that due to a broke sink, she has hooked a pipe that drains into a bucket which she flushes after cleaning the dishes since she cannot afford $65 per hour to pay for a plumber. The numbers show a stark difference between middle income families that can afford such payments. </w:t>
      </w:r>
    </w:p>
    <w:p w:rsidR="00392ABE" w:rsidRPr="00D85769" w:rsidRDefault="00392ABE" w:rsidP="00D85769">
      <w:pPr>
        <w:spacing w:line="480" w:lineRule="auto"/>
        <w:ind w:firstLine="720"/>
        <w:rPr>
          <w:rFonts w:ascii="Times New Roman" w:hAnsi="Times New Roman" w:cs="Times New Roman"/>
          <w:sz w:val="24"/>
          <w:szCs w:val="24"/>
        </w:rPr>
      </w:pPr>
      <w:r w:rsidRPr="00D85769">
        <w:rPr>
          <w:rFonts w:ascii="Times New Roman" w:hAnsi="Times New Roman" w:cs="Times New Roman"/>
          <w:sz w:val="24"/>
          <w:szCs w:val="24"/>
        </w:rPr>
        <w:t xml:space="preserve">The Hagewood’s are also in a stark </w:t>
      </w:r>
      <w:r w:rsidR="00BF6E69" w:rsidRPr="00D85769">
        <w:rPr>
          <w:rFonts w:ascii="Times New Roman" w:hAnsi="Times New Roman" w:cs="Times New Roman"/>
          <w:sz w:val="24"/>
          <w:szCs w:val="24"/>
        </w:rPr>
        <w:t xml:space="preserve">position since the income from the mother who has to work extra shifts does not provide enough to cover their bills, foods and gas. The mother to Kaylie also reveals that as most of the country is shocked by the increase in price of gas, she could not afford it even before the prices rocketed. Tyler also tells of how their breakfast switches from cereal and milk, which is a common amenity for most households for a complete breakfast. Kaylie also illustrates she feels hungry a lot but has to keep it off her mind since they </w:t>
      </w:r>
      <w:r w:rsidR="00BF6E69" w:rsidRPr="00D85769">
        <w:rPr>
          <w:rFonts w:ascii="Times New Roman" w:hAnsi="Times New Roman" w:cs="Times New Roman"/>
          <w:sz w:val="24"/>
          <w:szCs w:val="24"/>
        </w:rPr>
        <w:lastRenderedPageBreak/>
        <w:t xml:space="preserve">cannot afford three meals in a day. Kaylie’s brother also goes back to complete highschool after dropping off. He lists his reason as the strain in their family situation, and also a lack of concern by the teachers and faculty to follow-up. </w:t>
      </w:r>
    </w:p>
    <w:p w:rsidR="00BF6E69" w:rsidRPr="00D85769" w:rsidRDefault="00BF6E69" w:rsidP="00D85769">
      <w:pPr>
        <w:spacing w:line="480" w:lineRule="auto"/>
        <w:ind w:firstLine="720"/>
        <w:rPr>
          <w:rFonts w:ascii="Times New Roman" w:hAnsi="Times New Roman" w:cs="Times New Roman"/>
          <w:sz w:val="24"/>
          <w:szCs w:val="24"/>
        </w:rPr>
      </w:pPr>
      <w:r w:rsidRPr="00D85769">
        <w:rPr>
          <w:rFonts w:ascii="Times New Roman" w:hAnsi="Times New Roman" w:cs="Times New Roman"/>
          <w:sz w:val="24"/>
          <w:szCs w:val="24"/>
        </w:rPr>
        <w:t xml:space="preserve">The Davis’ family also suffered the depression from earning home renovation and repair jobs that ranged between $4000 and $7000 to leaving in a shelter where they could not afford anything. Johnny reiterates that his experiences led him to drugs and consequentially prison, which served as an eye-opener for him to reform. The storyline reflects on a high number of indigent populations who end up in prison, at a higher rate than the wealthy. </w:t>
      </w:r>
    </w:p>
    <w:p w:rsidR="00362B4F" w:rsidRPr="00D85769" w:rsidRDefault="00362B4F" w:rsidP="00D85769">
      <w:pPr>
        <w:spacing w:line="480" w:lineRule="auto"/>
        <w:rPr>
          <w:rFonts w:ascii="Times New Roman" w:hAnsi="Times New Roman" w:cs="Times New Roman"/>
          <w:b/>
          <w:sz w:val="24"/>
          <w:szCs w:val="24"/>
        </w:rPr>
      </w:pPr>
      <w:r w:rsidRPr="00D85769">
        <w:rPr>
          <w:rFonts w:ascii="Times New Roman" w:hAnsi="Times New Roman" w:cs="Times New Roman"/>
          <w:b/>
          <w:sz w:val="24"/>
          <w:szCs w:val="24"/>
        </w:rPr>
        <w:t>What social changes are needed to alleviate the problem?</w:t>
      </w:r>
    </w:p>
    <w:p w:rsidR="00D85769" w:rsidRPr="00D85769" w:rsidRDefault="00D074B3" w:rsidP="00D85769">
      <w:pPr>
        <w:spacing w:line="480" w:lineRule="auto"/>
        <w:ind w:firstLine="720"/>
        <w:rPr>
          <w:rFonts w:ascii="Times New Roman" w:hAnsi="Times New Roman" w:cs="Times New Roman"/>
          <w:sz w:val="24"/>
          <w:szCs w:val="24"/>
        </w:rPr>
      </w:pPr>
      <w:r w:rsidRPr="00D85769">
        <w:rPr>
          <w:rFonts w:ascii="Times New Roman" w:hAnsi="Times New Roman" w:cs="Times New Roman"/>
          <w:sz w:val="24"/>
          <w:szCs w:val="24"/>
        </w:rPr>
        <w:t xml:space="preserve">One significant aspect that can mitigate the propensity of poverty is implementing findings from research of social change. The research should incorporate the researchers within the community they wish to impacts and seek opinions and perceptions from the community on how to influence change that mitigates poverty. Important considerations that may prove vital within a societal context may include reducing the propensity for single parents and increasing the likelihood of married families. The communal approach could also provide motivation to the members and youth through engagement and empowerment to participate in projects that should be made available to every society. the community also has adequate authority to promote and facilitate self-reflective tendencies throughout the community, structured to help ascertain, comprehend and improve the adapted behaviors that inhibit progress and follow through with the social causation and social selection theories. </w:t>
      </w:r>
    </w:p>
    <w:p w:rsidR="00D85769" w:rsidRPr="00D85769" w:rsidRDefault="00D85769" w:rsidP="00D85769">
      <w:pPr>
        <w:spacing w:line="480" w:lineRule="auto"/>
        <w:rPr>
          <w:rFonts w:ascii="Times New Roman" w:hAnsi="Times New Roman" w:cs="Times New Roman"/>
          <w:sz w:val="24"/>
          <w:szCs w:val="24"/>
        </w:rPr>
      </w:pPr>
      <w:r w:rsidRPr="00D85769">
        <w:rPr>
          <w:rFonts w:ascii="Times New Roman" w:hAnsi="Times New Roman" w:cs="Times New Roman"/>
          <w:sz w:val="24"/>
          <w:szCs w:val="24"/>
        </w:rPr>
        <w:br w:type="page"/>
      </w:r>
    </w:p>
    <w:sdt>
      <w:sdtPr>
        <w:rPr>
          <w:rFonts w:ascii="Times New Roman" w:hAnsi="Times New Roman" w:cs="Times New Roman"/>
          <w:b w:val="0"/>
          <w:color w:val="auto"/>
          <w:sz w:val="24"/>
          <w:szCs w:val="24"/>
        </w:rPr>
        <w:id w:val="353614744"/>
        <w:docPartObj>
          <w:docPartGallery w:val="Bibliographies"/>
          <w:docPartUnique/>
        </w:docPartObj>
      </w:sdtPr>
      <w:sdtEndPr>
        <w:rPr>
          <w:rFonts w:eastAsiaTheme="minorEastAsia"/>
          <w:bCs w:val="0"/>
          <w:lang w:bidi="ar-SA"/>
        </w:rPr>
      </w:sdtEndPr>
      <w:sdtContent>
        <w:p w:rsidR="00D85769" w:rsidRPr="00D85769" w:rsidRDefault="00D85769" w:rsidP="00D85769">
          <w:pPr>
            <w:pStyle w:val="Heading1"/>
            <w:spacing w:line="480" w:lineRule="auto"/>
            <w:jc w:val="center"/>
            <w:rPr>
              <w:rFonts w:ascii="Times New Roman" w:hAnsi="Times New Roman" w:cs="Times New Roman"/>
              <w:b w:val="0"/>
              <w:color w:val="auto"/>
              <w:sz w:val="24"/>
              <w:szCs w:val="24"/>
            </w:rPr>
          </w:pPr>
          <w:r w:rsidRPr="00D85769">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Content>
            <w:p w:rsidR="00D85769" w:rsidRPr="00D85769" w:rsidRDefault="00D85769" w:rsidP="00D85769">
              <w:pPr>
                <w:pStyle w:val="Bibliography"/>
                <w:spacing w:line="480" w:lineRule="auto"/>
                <w:ind w:left="720" w:hanging="720"/>
                <w:rPr>
                  <w:rFonts w:ascii="Times New Roman" w:hAnsi="Times New Roman" w:cs="Times New Roman"/>
                  <w:noProof/>
                  <w:sz w:val="24"/>
                  <w:szCs w:val="24"/>
                </w:rPr>
              </w:pPr>
              <w:r w:rsidRPr="00D85769">
                <w:rPr>
                  <w:rFonts w:ascii="Times New Roman" w:hAnsi="Times New Roman" w:cs="Times New Roman"/>
                  <w:sz w:val="24"/>
                  <w:szCs w:val="24"/>
                </w:rPr>
                <w:fldChar w:fldCharType="begin"/>
              </w:r>
              <w:r w:rsidRPr="00D85769">
                <w:rPr>
                  <w:rFonts w:ascii="Times New Roman" w:hAnsi="Times New Roman" w:cs="Times New Roman"/>
                  <w:sz w:val="24"/>
                  <w:szCs w:val="24"/>
                </w:rPr>
                <w:instrText xml:space="preserve"> BIBLIOGRAPHY </w:instrText>
              </w:r>
              <w:r w:rsidRPr="00D85769">
                <w:rPr>
                  <w:rFonts w:ascii="Times New Roman" w:hAnsi="Times New Roman" w:cs="Times New Roman"/>
                  <w:sz w:val="24"/>
                  <w:szCs w:val="24"/>
                </w:rPr>
                <w:fldChar w:fldCharType="separate"/>
              </w:r>
              <w:r w:rsidRPr="00D85769">
                <w:rPr>
                  <w:rFonts w:ascii="Times New Roman" w:hAnsi="Times New Roman" w:cs="Times New Roman"/>
                  <w:noProof/>
                  <w:sz w:val="24"/>
                  <w:szCs w:val="24"/>
                </w:rPr>
                <w:t xml:space="preserve">FRONTLINE. (2017, November 22). </w:t>
              </w:r>
              <w:r w:rsidRPr="00D85769">
                <w:rPr>
                  <w:rFonts w:ascii="Times New Roman" w:hAnsi="Times New Roman" w:cs="Times New Roman"/>
                  <w:i/>
                  <w:iCs/>
                  <w:noProof/>
                  <w:sz w:val="24"/>
                  <w:szCs w:val="24"/>
                </w:rPr>
                <w:t>Poor Kids</w:t>
              </w:r>
              <w:r w:rsidRPr="00D85769">
                <w:rPr>
                  <w:rFonts w:ascii="Times New Roman" w:hAnsi="Times New Roman" w:cs="Times New Roman"/>
                  <w:noProof/>
                  <w:sz w:val="24"/>
                  <w:szCs w:val="24"/>
                </w:rPr>
                <w:t>. Retrieved December 1, 2019, from Public Broadcasting Service (PBS): https://www.pbs.org/wgbh/frontline/film/poor-kids/</w:t>
              </w:r>
            </w:p>
            <w:p w:rsidR="00D85769" w:rsidRPr="00D85769" w:rsidRDefault="00D85769" w:rsidP="00D85769">
              <w:pPr>
                <w:pStyle w:val="Bibliography"/>
                <w:spacing w:line="480" w:lineRule="auto"/>
                <w:ind w:left="720" w:hanging="720"/>
                <w:rPr>
                  <w:rFonts w:ascii="Times New Roman" w:hAnsi="Times New Roman" w:cs="Times New Roman"/>
                  <w:noProof/>
                  <w:sz w:val="24"/>
                  <w:szCs w:val="24"/>
                </w:rPr>
              </w:pPr>
              <w:r w:rsidRPr="00D85769">
                <w:rPr>
                  <w:rFonts w:ascii="Times New Roman" w:hAnsi="Times New Roman" w:cs="Times New Roman"/>
                  <w:noProof/>
                  <w:sz w:val="24"/>
                  <w:szCs w:val="24"/>
                </w:rPr>
                <w:t xml:space="preserve">Huston, A. C. (2011). Children in poverty: Can public policy alleviate the consequences? </w:t>
              </w:r>
              <w:r w:rsidRPr="00D85769">
                <w:rPr>
                  <w:rFonts w:ascii="Times New Roman" w:hAnsi="Times New Roman" w:cs="Times New Roman"/>
                  <w:i/>
                  <w:iCs/>
                  <w:noProof/>
                  <w:sz w:val="24"/>
                  <w:szCs w:val="24"/>
                </w:rPr>
                <w:t>Family matters</w:t>
              </w:r>
              <w:r w:rsidRPr="00D85769">
                <w:rPr>
                  <w:rFonts w:ascii="Times New Roman" w:hAnsi="Times New Roman" w:cs="Times New Roman"/>
                  <w:noProof/>
                  <w:sz w:val="24"/>
                  <w:szCs w:val="24"/>
                </w:rPr>
                <w:t xml:space="preserve"> </w:t>
              </w:r>
              <w:r w:rsidRPr="00D85769">
                <w:rPr>
                  <w:rFonts w:ascii="Times New Roman" w:hAnsi="Times New Roman" w:cs="Times New Roman"/>
                  <w:i/>
                  <w:iCs/>
                  <w:noProof/>
                  <w:sz w:val="24"/>
                  <w:szCs w:val="24"/>
                </w:rPr>
                <w:t>, 87</w:t>
              </w:r>
              <w:r w:rsidRPr="00D85769">
                <w:rPr>
                  <w:rFonts w:ascii="Times New Roman" w:hAnsi="Times New Roman" w:cs="Times New Roman"/>
                  <w:noProof/>
                  <w:sz w:val="24"/>
                  <w:szCs w:val="24"/>
                </w:rPr>
                <w:t>, 13.</w:t>
              </w:r>
            </w:p>
            <w:p w:rsidR="00D85769" w:rsidRPr="00D85769" w:rsidRDefault="00D85769" w:rsidP="00D85769">
              <w:pPr>
                <w:pStyle w:val="Bibliography"/>
                <w:spacing w:line="480" w:lineRule="auto"/>
                <w:ind w:left="720" w:hanging="720"/>
                <w:rPr>
                  <w:rFonts w:ascii="Times New Roman" w:hAnsi="Times New Roman" w:cs="Times New Roman"/>
                  <w:noProof/>
                  <w:sz w:val="24"/>
                  <w:szCs w:val="24"/>
                </w:rPr>
              </w:pPr>
              <w:r w:rsidRPr="00D85769">
                <w:rPr>
                  <w:rFonts w:ascii="Times New Roman" w:hAnsi="Times New Roman" w:cs="Times New Roman"/>
                  <w:noProof/>
                  <w:sz w:val="24"/>
                  <w:szCs w:val="24"/>
                </w:rPr>
                <w:t xml:space="preserve">Kennedy, S., &amp; Fitch, C. A. (2012). Measuring cohabitation and family structure in the United States: Assessing the impact of new data from the Current Population Survey. </w:t>
              </w:r>
              <w:r w:rsidRPr="00D85769">
                <w:rPr>
                  <w:rFonts w:ascii="Times New Roman" w:hAnsi="Times New Roman" w:cs="Times New Roman"/>
                  <w:i/>
                  <w:iCs/>
                  <w:noProof/>
                  <w:sz w:val="24"/>
                  <w:szCs w:val="24"/>
                </w:rPr>
                <w:t>Demography</w:t>
              </w:r>
              <w:r w:rsidRPr="00D85769">
                <w:rPr>
                  <w:rFonts w:ascii="Times New Roman" w:hAnsi="Times New Roman" w:cs="Times New Roman"/>
                  <w:noProof/>
                  <w:sz w:val="24"/>
                  <w:szCs w:val="24"/>
                </w:rPr>
                <w:t xml:space="preserve"> </w:t>
              </w:r>
              <w:r w:rsidRPr="00D85769">
                <w:rPr>
                  <w:rFonts w:ascii="Times New Roman" w:hAnsi="Times New Roman" w:cs="Times New Roman"/>
                  <w:i/>
                  <w:iCs/>
                  <w:noProof/>
                  <w:sz w:val="24"/>
                  <w:szCs w:val="24"/>
                </w:rPr>
                <w:t>, 49</w:t>
              </w:r>
              <w:r w:rsidRPr="00D85769">
                <w:rPr>
                  <w:rFonts w:ascii="Times New Roman" w:hAnsi="Times New Roman" w:cs="Times New Roman"/>
                  <w:noProof/>
                  <w:sz w:val="24"/>
                  <w:szCs w:val="24"/>
                </w:rPr>
                <w:t xml:space="preserve"> (4), 1479-1498.</w:t>
              </w:r>
            </w:p>
            <w:p w:rsidR="00D85769" w:rsidRPr="00D85769" w:rsidRDefault="00D85769" w:rsidP="00D85769">
              <w:pPr>
                <w:pStyle w:val="Bibliography"/>
                <w:spacing w:line="480" w:lineRule="auto"/>
                <w:ind w:left="720" w:hanging="720"/>
                <w:rPr>
                  <w:rFonts w:ascii="Times New Roman" w:hAnsi="Times New Roman" w:cs="Times New Roman"/>
                  <w:noProof/>
                  <w:sz w:val="24"/>
                  <w:szCs w:val="24"/>
                </w:rPr>
              </w:pPr>
              <w:r w:rsidRPr="00D85769">
                <w:rPr>
                  <w:rFonts w:ascii="Times New Roman" w:hAnsi="Times New Roman" w:cs="Times New Roman"/>
                  <w:noProof/>
                  <w:sz w:val="24"/>
                  <w:szCs w:val="24"/>
                </w:rPr>
                <w:t xml:space="preserve">Mossakowski, K. N. (2014). Social causation and social selection. </w:t>
              </w:r>
              <w:r w:rsidRPr="00D85769">
                <w:rPr>
                  <w:rFonts w:ascii="Times New Roman" w:hAnsi="Times New Roman" w:cs="Times New Roman"/>
                  <w:i/>
                  <w:iCs/>
                  <w:noProof/>
                  <w:sz w:val="24"/>
                  <w:szCs w:val="24"/>
                </w:rPr>
                <w:t>The Wiley Blackwell encyclopedia of health, illness, behavior, and society</w:t>
              </w:r>
              <w:r w:rsidRPr="00D85769">
                <w:rPr>
                  <w:rFonts w:ascii="Times New Roman" w:hAnsi="Times New Roman" w:cs="Times New Roman"/>
                  <w:noProof/>
                  <w:sz w:val="24"/>
                  <w:szCs w:val="24"/>
                </w:rPr>
                <w:t xml:space="preserve"> , 2154-2160.</w:t>
              </w:r>
            </w:p>
            <w:p w:rsidR="00D85769" w:rsidRPr="00D85769" w:rsidRDefault="00D85769" w:rsidP="00D85769">
              <w:pPr>
                <w:pStyle w:val="Bibliography"/>
                <w:spacing w:line="480" w:lineRule="auto"/>
                <w:ind w:left="720" w:hanging="720"/>
                <w:rPr>
                  <w:rFonts w:ascii="Times New Roman" w:hAnsi="Times New Roman" w:cs="Times New Roman"/>
                  <w:noProof/>
                  <w:sz w:val="24"/>
                  <w:szCs w:val="24"/>
                </w:rPr>
              </w:pPr>
              <w:r w:rsidRPr="00D85769">
                <w:rPr>
                  <w:rFonts w:ascii="Times New Roman" w:hAnsi="Times New Roman" w:cs="Times New Roman"/>
                  <w:noProof/>
                  <w:sz w:val="24"/>
                  <w:szCs w:val="24"/>
                </w:rPr>
                <w:t xml:space="preserve">Potts, R. (2012). Social welfare in South Africa: Curing or causing poverty. </w:t>
              </w:r>
              <w:r w:rsidRPr="00D85769">
                <w:rPr>
                  <w:rFonts w:ascii="Times New Roman" w:hAnsi="Times New Roman" w:cs="Times New Roman"/>
                  <w:i/>
                  <w:iCs/>
                  <w:noProof/>
                  <w:sz w:val="24"/>
                  <w:szCs w:val="24"/>
                </w:rPr>
                <w:t>Penn State Journal of International Affairs</w:t>
              </w:r>
              <w:r w:rsidRPr="00D85769">
                <w:rPr>
                  <w:rFonts w:ascii="Times New Roman" w:hAnsi="Times New Roman" w:cs="Times New Roman"/>
                  <w:noProof/>
                  <w:sz w:val="24"/>
                  <w:szCs w:val="24"/>
                </w:rPr>
                <w:t xml:space="preserve"> </w:t>
              </w:r>
              <w:r w:rsidRPr="00D85769">
                <w:rPr>
                  <w:rFonts w:ascii="Times New Roman" w:hAnsi="Times New Roman" w:cs="Times New Roman"/>
                  <w:i/>
                  <w:iCs/>
                  <w:noProof/>
                  <w:sz w:val="24"/>
                  <w:szCs w:val="24"/>
                </w:rPr>
                <w:t>, 1</w:t>
              </w:r>
              <w:r w:rsidRPr="00D85769">
                <w:rPr>
                  <w:rFonts w:ascii="Times New Roman" w:hAnsi="Times New Roman" w:cs="Times New Roman"/>
                  <w:noProof/>
                  <w:sz w:val="24"/>
                  <w:szCs w:val="24"/>
                </w:rPr>
                <w:t xml:space="preserve"> (2), 72-90.</w:t>
              </w:r>
            </w:p>
            <w:p w:rsidR="00D85769" w:rsidRPr="00D85769" w:rsidRDefault="00D85769" w:rsidP="00D85769">
              <w:pPr>
                <w:spacing w:line="480" w:lineRule="auto"/>
                <w:ind w:left="720" w:hanging="720"/>
                <w:rPr>
                  <w:rFonts w:ascii="Times New Roman" w:hAnsi="Times New Roman" w:cs="Times New Roman"/>
                  <w:sz w:val="24"/>
                  <w:szCs w:val="24"/>
                </w:rPr>
              </w:pPr>
              <w:r w:rsidRPr="00D85769">
                <w:rPr>
                  <w:rFonts w:ascii="Times New Roman" w:hAnsi="Times New Roman" w:cs="Times New Roman"/>
                  <w:sz w:val="24"/>
                  <w:szCs w:val="24"/>
                </w:rPr>
                <w:fldChar w:fldCharType="end"/>
              </w:r>
            </w:p>
          </w:sdtContent>
        </w:sdt>
      </w:sdtContent>
    </w:sdt>
    <w:p w:rsidR="00D85769" w:rsidRPr="00D85769" w:rsidRDefault="00D85769" w:rsidP="00D85769">
      <w:pPr>
        <w:spacing w:line="480" w:lineRule="auto"/>
        <w:ind w:firstLine="720"/>
        <w:rPr>
          <w:rFonts w:ascii="Times New Roman" w:hAnsi="Times New Roman" w:cs="Times New Roman"/>
          <w:sz w:val="24"/>
          <w:szCs w:val="24"/>
        </w:rPr>
      </w:pPr>
    </w:p>
    <w:sectPr w:rsidR="00D85769" w:rsidRPr="00D85769" w:rsidSect="00D857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5D44" w:rsidRDefault="002C5D44" w:rsidP="00D85769">
      <w:pPr>
        <w:spacing w:after="0" w:line="240" w:lineRule="auto"/>
      </w:pPr>
      <w:r>
        <w:separator/>
      </w:r>
    </w:p>
  </w:endnote>
  <w:endnote w:type="continuationSeparator" w:id="1">
    <w:p w:rsidR="002C5D44" w:rsidRDefault="002C5D44" w:rsidP="00D857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5D44" w:rsidRDefault="002C5D44" w:rsidP="00D85769">
      <w:pPr>
        <w:spacing w:after="0" w:line="240" w:lineRule="auto"/>
      </w:pPr>
      <w:r>
        <w:separator/>
      </w:r>
    </w:p>
  </w:footnote>
  <w:footnote w:type="continuationSeparator" w:id="1">
    <w:p w:rsidR="002C5D44" w:rsidRDefault="002C5D44" w:rsidP="00D857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769" w:rsidRPr="00D85769" w:rsidRDefault="00D85769">
    <w:pPr>
      <w:pStyle w:val="Header"/>
      <w:jc w:val="right"/>
      <w:rPr>
        <w:rFonts w:ascii="Times New Roman" w:hAnsi="Times New Roman" w:cs="Times New Roman"/>
        <w:sz w:val="24"/>
      </w:rPr>
    </w:pPr>
    <w:r w:rsidRPr="00D85769">
      <w:rPr>
        <w:rFonts w:ascii="Times New Roman" w:hAnsi="Times New Roman" w:cs="Times New Roman"/>
        <w:sz w:val="24"/>
      </w:rPr>
      <w:t>POOR KIDS DOCUMENTARY</w:t>
    </w:r>
    <w:r w:rsidRPr="00D85769">
      <w:rPr>
        <w:rFonts w:ascii="Times New Roman" w:hAnsi="Times New Roman" w:cs="Times New Roman"/>
        <w:sz w:val="24"/>
      </w:rPr>
      <w:tab/>
    </w:r>
    <w:r w:rsidRPr="00D85769">
      <w:rPr>
        <w:rFonts w:ascii="Times New Roman" w:hAnsi="Times New Roman" w:cs="Times New Roman"/>
        <w:sz w:val="24"/>
      </w:rPr>
      <w:tab/>
    </w:r>
    <w:sdt>
      <w:sdtPr>
        <w:rPr>
          <w:rFonts w:ascii="Times New Roman" w:hAnsi="Times New Roman" w:cs="Times New Roman"/>
          <w:sz w:val="24"/>
        </w:rPr>
        <w:id w:val="353614751"/>
        <w:docPartObj>
          <w:docPartGallery w:val="Page Numbers (Top of Page)"/>
          <w:docPartUnique/>
        </w:docPartObj>
      </w:sdtPr>
      <w:sdtContent>
        <w:r w:rsidRPr="00D85769">
          <w:rPr>
            <w:rFonts w:ascii="Times New Roman" w:hAnsi="Times New Roman" w:cs="Times New Roman"/>
            <w:sz w:val="24"/>
          </w:rPr>
          <w:fldChar w:fldCharType="begin"/>
        </w:r>
        <w:r w:rsidRPr="00D85769">
          <w:rPr>
            <w:rFonts w:ascii="Times New Roman" w:hAnsi="Times New Roman" w:cs="Times New Roman"/>
            <w:sz w:val="24"/>
          </w:rPr>
          <w:instrText xml:space="preserve"> PAGE   \* MERGEFORMAT </w:instrText>
        </w:r>
        <w:r w:rsidRPr="00D85769">
          <w:rPr>
            <w:rFonts w:ascii="Times New Roman" w:hAnsi="Times New Roman" w:cs="Times New Roman"/>
            <w:sz w:val="24"/>
          </w:rPr>
          <w:fldChar w:fldCharType="separate"/>
        </w:r>
        <w:r>
          <w:rPr>
            <w:rFonts w:ascii="Times New Roman" w:hAnsi="Times New Roman" w:cs="Times New Roman"/>
            <w:noProof/>
            <w:sz w:val="24"/>
          </w:rPr>
          <w:t>6</w:t>
        </w:r>
        <w:r w:rsidRPr="00D85769">
          <w:rPr>
            <w:rFonts w:ascii="Times New Roman" w:hAnsi="Times New Roman" w:cs="Times New Roman"/>
            <w:sz w:val="24"/>
          </w:rPr>
          <w:fldChar w:fldCharType="end"/>
        </w:r>
      </w:sdtContent>
    </w:sdt>
  </w:p>
  <w:p w:rsidR="00D85769" w:rsidRPr="00D85769" w:rsidRDefault="00D85769">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769" w:rsidRPr="00D85769" w:rsidRDefault="00D85769">
    <w:pPr>
      <w:pStyle w:val="Header"/>
      <w:jc w:val="right"/>
      <w:rPr>
        <w:rFonts w:ascii="Times New Roman" w:hAnsi="Times New Roman" w:cs="Times New Roman"/>
        <w:sz w:val="24"/>
      </w:rPr>
    </w:pPr>
    <w:r w:rsidRPr="00D85769">
      <w:rPr>
        <w:rFonts w:ascii="Times New Roman" w:hAnsi="Times New Roman" w:cs="Times New Roman"/>
        <w:sz w:val="24"/>
      </w:rPr>
      <w:t xml:space="preserve">Running Head: POOR KIDS DOCUMENTARY  </w:t>
    </w:r>
    <w:r w:rsidRPr="00D85769">
      <w:rPr>
        <w:rFonts w:ascii="Times New Roman" w:hAnsi="Times New Roman" w:cs="Times New Roman"/>
        <w:sz w:val="24"/>
      </w:rPr>
      <w:tab/>
    </w:r>
    <w:sdt>
      <w:sdtPr>
        <w:rPr>
          <w:rFonts w:ascii="Times New Roman" w:hAnsi="Times New Roman" w:cs="Times New Roman"/>
          <w:sz w:val="24"/>
        </w:rPr>
        <w:id w:val="353614778"/>
        <w:docPartObj>
          <w:docPartGallery w:val="Page Numbers (Top of Page)"/>
          <w:docPartUnique/>
        </w:docPartObj>
      </w:sdtPr>
      <w:sdtContent>
        <w:r w:rsidRPr="00D85769">
          <w:rPr>
            <w:rFonts w:ascii="Times New Roman" w:hAnsi="Times New Roman" w:cs="Times New Roman"/>
            <w:sz w:val="24"/>
          </w:rPr>
          <w:fldChar w:fldCharType="begin"/>
        </w:r>
        <w:r w:rsidRPr="00D85769">
          <w:rPr>
            <w:rFonts w:ascii="Times New Roman" w:hAnsi="Times New Roman" w:cs="Times New Roman"/>
            <w:sz w:val="24"/>
          </w:rPr>
          <w:instrText xml:space="preserve"> PAGE   \* MERGEFORMAT </w:instrText>
        </w:r>
        <w:r w:rsidRPr="00D85769">
          <w:rPr>
            <w:rFonts w:ascii="Times New Roman" w:hAnsi="Times New Roman" w:cs="Times New Roman"/>
            <w:sz w:val="24"/>
          </w:rPr>
          <w:fldChar w:fldCharType="separate"/>
        </w:r>
        <w:r>
          <w:rPr>
            <w:rFonts w:ascii="Times New Roman" w:hAnsi="Times New Roman" w:cs="Times New Roman"/>
            <w:noProof/>
            <w:sz w:val="24"/>
          </w:rPr>
          <w:t>1</w:t>
        </w:r>
        <w:r w:rsidRPr="00D85769">
          <w:rPr>
            <w:rFonts w:ascii="Times New Roman" w:hAnsi="Times New Roman" w:cs="Times New Roman"/>
            <w:sz w:val="24"/>
          </w:rPr>
          <w:fldChar w:fldCharType="end"/>
        </w:r>
      </w:sdtContent>
    </w:sdt>
  </w:p>
  <w:p w:rsidR="00D85769" w:rsidRPr="00D85769" w:rsidRDefault="00D85769">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62B4F"/>
    <w:rsid w:val="002C5D44"/>
    <w:rsid w:val="00362B4F"/>
    <w:rsid w:val="00370745"/>
    <w:rsid w:val="00392ABE"/>
    <w:rsid w:val="005810E7"/>
    <w:rsid w:val="00717B06"/>
    <w:rsid w:val="00753550"/>
    <w:rsid w:val="00A6364A"/>
    <w:rsid w:val="00B46BD5"/>
    <w:rsid w:val="00BF6E69"/>
    <w:rsid w:val="00D074B3"/>
    <w:rsid w:val="00D857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85769"/>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07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0745"/>
    <w:rPr>
      <w:rFonts w:ascii="Tahoma" w:hAnsi="Tahoma" w:cs="Tahoma"/>
      <w:sz w:val="16"/>
      <w:szCs w:val="16"/>
    </w:rPr>
  </w:style>
  <w:style w:type="character" w:customStyle="1" w:styleId="Heading1Char">
    <w:name w:val="Heading 1 Char"/>
    <w:basedOn w:val="DefaultParagraphFont"/>
    <w:link w:val="Heading1"/>
    <w:uiPriority w:val="9"/>
    <w:rsid w:val="00D85769"/>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85769"/>
  </w:style>
  <w:style w:type="paragraph" w:styleId="Header">
    <w:name w:val="header"/>
    <w:basedOn w:val="Normal"/>
    <w:link w:val="HeaderChar"/>
    <w:uiPriority w:val="99"/>
    <w:unhideWhenUsed/>
    <w:rsid w:val="00D857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769"/>
  </w:style>
  <w:style w:type="paragraph" w:styleId="Footer">
    <w:name w:val="footer"/>
    <w:basedOn w:val="Normal"/>
    <w:link w:val="FooterChar"/>
    <w:uiPriority w:val="99"/>
    <w:semiHidden/>
    <w:unhideWhenUsed/>
    <w:rsid w:val="00D8576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8576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Hus11</b:Tag>
    <b:SourceType>JournalArticle</b:SourceType>
    <b:Guid>{951A292D-4ACC-41D2-8279-EAA539BFC0FF}</b:Guid>
    <b:LCID>0</b:LCID>
    <b:Author>
      <b:Author>
        <b:NameList>
          <b:Person>
            <b:Last>Huston</b:Last>
            <b:First>Aletha</b:First>
            <b:Middle>C</b:Middle>
          </b:Person>
        </b:NameList>
      </b:Author>
    </b:Author>
    <b:Title>Children in poverty: Can public policy alleviate the consequences?</b:Title>
    <b:Year>2011</b:Year>
    <b:JournalName>Family matters</b:JournalName>
    <b:Pages>13</b:Pages>
    <b:City>Melbourne</b:City>
    <b:Volume>87</b:Volume>
    <b:RefOrder>1</b:RefOrder>
  </b:Source>
  <b:Source>
    <b:Tag>Mos14</b:Tag>
    <b:SourceType>JournalArticle</b:SourceType>
    <b:Guid>{E5EF7213-E926-40A3-8967-F1530ADC2E06}</b:Guid>
    <b:LCID>0</b:LCID>
    <b:Author>
      <b:Author>
        <b:NameList>
          <b:Person>
            <b:Last>Mossakowski</b:Last>
            <b:First>Krysia</b:First>
            <b:Middle>N</b:Middle>
          </b:Person>
        </b:NameList>
      </b:Author>
    </b:Author>
    <b:Title>Social causation and social selection</b:Title>
    <b:JournalName>The Wiley Blackwell encyclopedia of health, illness, behavior, and society</b:JournalName>
    <b:Year>2014</b:Year>
    <b:Pages>2154-2160</b:Pages>
    <b:RefOrder>2</b:RefOrder>
  </b:Source>
  <b:Source>
    <b:Tag>Ken12</b:Tag>
    <b:SourceType>JournalArticle</b:SourceType>
    <b:Guid>{364FC6E0-2AFD-4072-98DB-F6A71286D801}</b:Guid>
    <b:LCID>0</b:LCID>
    <b:Author>
      <b:Author>
        <b:NameList>
          <b:Person>
            <b:Last>Kennedy</b:Last>
            <b:First>Sheela</b:First>
          </b:Person>
          <b:Person>
            <b:Last>Fitch</b:Last>
            <b:First>Catherine</b:First>
            <b:Middle>A</b:Middle>
          </b:Person>
        </b:NameList>
      </b:Author>
    </b:Author>
    <b:Title>Measuring cohabitation and family structure in the United States: Assessing the impact of new data from the Current Population Survey</b:Title>
    <b:JournalName>Demography</b:JournalName>
    <b:Year>2012</b:Year>
    <b:Pages>1479-1498</b:Pages>
    <b:Volume>49</b:Volume>
    <b:Issue>4</b:Issue>
    <b:RefOrder>3</b:RefOrder>
  </b:Source>
  <b:Source>
    <b:Tag>Pot12</b:Tag>
    <b:SourceType>JournalArticle</b:SourceType>
    <b:Guid>{EFA9CDEF-8C56-434A-AE3D-EDBF498AD3B6}</b:Guid>
    <b:LCID>0</b:LCID>
    <b:Author>
      <b:Author>
        <b:NameList>
          <b:Person>
            <b:Last>Potts</b:Last>
            <b:First>Rebecca</b:First>
          </b:Person>
        </b:NameList>
      </b:Author>
    </b:Author>
    <b:Title>Social welfare in South Africa: Curing or causing poverty</b:Title>
    <b:JournalName>Penn State Journal of International Affairs</b:JournalName>
    <b:Year>2012</b:Year>
    <b:Pages>72-90</b:Pages>
    <b:Volume>1</b:Volume>
    <b:Issue>2</b:Issue>
    <b:RefOrder>4</b:RefOrder>
  </b:Source>
  <b:Source>
    <b:Tag>FRO17</b:Tag>
    <b:SourceType>InternetSite</b:SourceType>
    <b:Guid>{6D6D88F9-2FFD-478D-BDF6-1EB29891D786}</b:Guid>
    <b:LCID>0</b:LCID>
    <b:Author>
      <b:Author>
        <b:Corporate>FRONTLINE</b:Corporate>
      </b:Author>
    </b:Author>
    <b:Title>Poor Kids</b:Title>
    <b:Year>2017</b:Year>
    <b:InternetSiteTitle>Public Broadcasting Service (PBS)</b:InternetSiteTitle>
    <b:Month>November</b:Month>
    <b:Day>22</b:Day>
    <b:YearAccessed>2019</b:YearAccessed>
    <b:MonthAccessed>December</b:MonthAccessed>
    <b:DayAccessed>1</b:DayAccessed>
    <b:URL>https://www.pbs.org/wgbh/frontline/film/poor-kids/</b:URL>
    <b:RefOrder>5</b:RefOrder>
  </b:Source>
</b:Sources>
</file>

<file path=customXml/itemProps1.xml><?xml version="1.0" encoding="utf-8"?>
<ds:datastoreItem xmlns:ds="http://schemas.openxmlformats.org/officeDocument/2006/customXml" ds:itemID="{173D0DFE-D745-44F7-843A-94E2D88E9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352</TotalTime>
  <Pages>7</Pages>
  <Words>1600</Words>
  <Characters>9122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2019-12-01T16:39:00Z</dcterms:created>
  <dcterms:modified xsi:type="dcterms:W3CDTF">2019-12-01T22:31:00Z</dcterms:modified>
</cp:coreProperties>
</file>